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78" w:lineRule="exact"/>
        <w:rPr>
          <w:rFonts w:hint="default" w:ascii="Times New Roman" w:hAnsi="Times New Roman" w:eastAsia="方正黑体_GBK" w:cs="Times New Roman"/>
          <w:bCs/>
          <w:spacing w:val="-10"/>
          <w:kern w:val="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方正黑体_GBK" w:cs="Times New Roman"/>
          <w:bCs/>
          <w:spacing w:val="-10"/>
          <w:kern w:val="0"/>
          <w:sz w:val="32"/>
          <w:szCs w:val="32"/>
        </w:rPr>
        <w:t>附件</w:t>
      </w:r>
      <w:r>
        <w:rPr>
          <w:rFonts w:hint="default" w:ascii="Times New Roman" w:hAnsi="Times New Roman" w:eastAsia="方正黑体_GBK" w:cs="Times New Roman"/>
          <w:bCs/>
          <w:spacing w:val="-10"/>
          <w:kern w:val="0"/>
          <w:sz w:val="32"/>
          <w:szCs w:val="32"/>
          <w:lang w:val="en-US" w:eastAsia="zh-CN"/>
        </w:rPr>
        <w:t>1</w:t>
      </w:r>
    </w:p>
    <w:p>
      <w:pPr>
        <w:snapToGrid w:val="0"/>
        <w:spacing w:line="578" w:lineRule="exact"/>
        <w:jc w:val="center"/>
        <w:rPr>
          <w:rFonts w:hint="default" w:ascii="Times New Roman" w:hAnsi="Times New Roman" w:eastAsia="仿宋_GB2312" w:cs="Times New Roman"/>
          <w:bCs/>
          <w:spacing w:val="-10"/>
          <w:kern w:val="0"/>
          <w:sz w:val="32"/>
          <w:szCs w:val="32"/>
        </w:rPr>
      </w:pPr>
    </w:p>
    <w:p>
      <w:pPr>
        <w:snapToGrid w:val="0"/>
        <w:spacing w:line="578" w:lineRule="exact"/>
        <w:jc w:val="center"/>
        <w:rPr>
          <w:rFonts w:hint="default" w:ascii="Times New Roman" w:hAnsi="Times New Roman" w:eastAsia="方正小标宋简体" w:cs="Times New Roman"/>
          <w:bCs/>
          <w:kern w:val="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Cs/>
          <w:kern w:val="0"/>
          <w:sz w:val="44"/>
          <w:szCs w:val="44"/>
          <w:lang w:val="en-US" w:eastAsia="zh-CN"/>
        </w:rPr>
        <w:t>推进新型工业化加快建设制造强区的若干政策措施2026年度奖励项目</w:t>
      </w:r>
      <w:r>
        <w:rPr>
          <w:rFonts w:hint="eastAsia" w:ascii="Times New Roman" w:hAnsi="Times New Roman" w:eastAsia="方正小标宋简体" w:cs="Times New Roman"/>
          <w:bCs/>
          <w:kern w:val="0"/>
          <w:sz w:val="44"/>
          <w:szCs w:val="44"/>
          <w:lang w:val="en-US" w:eastAsia="zh-CN"/>
        </w:rPr>
        <w:t>申报</w:t>
      </w:r>
      <w:r>
        <w:rPr>
          <w:rFonts w:hint="default" w:ascii="Times New Roman" w:hAnsi="Times New Roman" w:eastAsia="方正小标宋简体" w:cs="Times New Roman"/>
          <w:bCs/>
          <w:kern w:val="0"/>
          <w:sz w:val="44"/>
          <w:szCs w:val="44"/>
          <w:lang w:val="en-US" w:eastAsia="zh-CN"/>
        </w:rPr>
        <w:t>指南</w:t>
      </w:r>
    </w:p>
    <w:p>
      <w:pPr>
        <w:tabs>
          <w:tab w:val="left" w:pos="8460"/>
        </w:tabs>
        <w:snapToGrid w:val="0"/>
        <w:spacing w:line="578" w:lineRule="exact"/>
        <w:rPr>
          <w:rFonts w:hint="default" w:ascii="Times New Roman" w:hAnsi="Times New Roman" w:eastAsia="仿宋_GB2312" w:cs="Times New Roman"/>
          <w:bCs/>
          <w:spacing w:val="-10"/>
          <w:kern w:val="0"/>
          <w:sz w:val="32"/>
          <w:szCs w:val="32"/>
        </w:rPr>
      </w:pPr>
    </w:p>
    <w:p>
      <w:pPr>
        <w:pStyle w:val="2"/>
        <w:ind w:firstLine="640" w:firstLineChars="200"/>
        <w:rPr>
          <w:rFonts w:hint="default" w:ascii="Times New Roman" w:hAnsi="Times New Roman" w:eastAsia="仿宋_GB2312" w:cs="Times New Roman"/>
          <w:bCs/>
          <w:spacing w:val="-10"/>
          <w:kern w:val="0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>一、重大专项奖补</w:t>
      </w:r>
      <w:r>
        <w:rPr>
          <w:rFonts w:hint="eastAsia" w:ascii="Times New Roman" w:hAnsi="Times New Roman" w:eastAsia="方正黑体_GBK" w:cs="Times New Roman"/>
          <w:sz w:val="32"/>
          <w:szCs w:val="32"/>
          <w:lang w:val="en-US" w:eastAsia="zh-CN"/>
        </w:rPr>
        <w:t>申报</w:t>
      </w:r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>指南</w:t>
      </w:r>
    </w:p>
    <w:p>
      <w:pPr>
        <w:pStyle w:val="2"/>
        <w:rPr>
          <w:rFonts w:hint="default" w:ascii="Times New Roman" w:hAnsi="Times New Roman" w:eastAsia="仿宋_GB2312" w:cs="Times New Roman"/>
          <w:bCs/>
          <w:spacing w:val="-10"/>
          <w:kern w:val="0"/>
          <w:sz w:val="32"/>
          <w:szCs w:val="32"/>
        </w:rPr>
      </w:pPr>
    </w:p>
    <w:p>
      <w:pPr>
        <w:numPr>
          <w:ilvl w:val="0"/>
          <w:numId w:val="0"/>
        </w:numPr>
        <w:snapToGrid w:val="0"/>
        <w:spacing w:line="578" w:lineRule="exact"/>
        <w:ind w:firstLine="640" w:firstLineChars="200"/>
        <w:outlineLvl w:val="0"/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>二、高新技术企业认定奖补</w:t>
      </w:r>
      <w:r>
        <w:rPr>
          <w:rFonts w:hint="eastAsia" w:ascii="Times New Roman" w:hAnsi="Times New Roman" w:eastAsia="方正黑体_GBK" w:cs="Times New Roman"/>
          <w:sz w:val="32"/>
          <w:szCs w:val="32"/>
          <w:lang w:val="en-US" w:eastAsia="zh-CN"/>
        </w:rPr>
        <w:t>申报</w:t>
      </w:r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>指南</w:t>
      </w:r>
    </w:p>
    <w:p>
      <w:pPr>
        <w:pStyle w:val="2"/>
        <w:numPr>
          <w:ilvl w:val="0"/>
          <w:numId w:val="0"/>
        </w:numPr>
        <w:rPr>
          <w:rFonts w:hint="default" w:ascii="Times New Roman" w:hAnsi="Times New Roman" w:cs="Times New Roman"/>
          <w:lang w:val="en-US" w:eastAsia="zh-CN"/>
        </w:rPr>
      </w:pPr>
    </w:p>
    <w:p>
      <w:pPr>
        <w:numPr>
          <w:ilvl w:val="0"/>
          <w:numId w:val="0"/>
        </w:numPr>
        <w:snapToGrid w:val="0"/>
        <w:spacing w:line="578" w:lineRule="exact"/>
        <w:ind w:firstLine="640" w:firstLineChars="200"/>
        <w:outlineLvl w:val="0"/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>三、产学研合作奖补</w:t>
      </w:r>
      <w:r>
        <w:rPr>
          <w:rFonts w:hint="eastAsia" w:ascii="Times New Roman" w:hAnsi="Times New Roman" w:eastAsia="方正黑体_GBK" w:cs="Times New Roman"/>
          <w:sz w:val="32"/>
          <w:szCs w:val="32"/>
          <w:lang w:val="en-US" w:eastAsia="zh-CN"/>
        </w:rPr>
        <w:t>申报</w:t>
      </w:r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>指南</w:t>
      </w:r>
    </w:p>
    <w:p>
      <w:pPr>
        <w:snapToGrid w:val="0"/>
        <w:spacing w:line="578" w:lineRule="exact"/>
        <w:ind w:firstLine="646"/>
        <w:outlineLvl w:val="0"/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</w:pPr>
    </w:p>
    <w:p>
      <w:pPr>
        <w:snapToGrid w:val="0"/>
        <w:spacing w:line="578" w:lineRule="exact"/>
        <w:ind w:firstLine="646"/>
        <w:outlineLvl w:val="0"/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</w:pPr>
    </w:p>
    <w:p>
      <w:pPr>
        <w:snapToGrid w:val="0"/>
        <w:spacing w:line="578" w:lineRule="exact"/>
        <w:rPr>
          <w:rFonts w:hint="default" w:ascii="Times New Roman" w:hAnsi="Times New Roman" w:eastAsia="方正黑体_GBK" w:cs="Times New Roman"/>
          <w:bCs/>
          <w:kern w:val="0"/>
          <w:sz w:val="32"/>
          <w:szCs w:val="32"/>
        </w:rPr>
      </w:pPr>
    </w:p>
    <w:p>
      <w:pPr>
        <w:snapToGrid w:val="0"/>
        <w:spacing w:line="578" w:lineRule="exact"/>
        <w:rPr>
          <w:rFonts w:hint="default" w:ascii="Times New Roman" w:hAnsi="Times New Roman" w:eastAsia="方正黑体_GBK" w:cs="Times New Roman"/>
          <w:bCs/>
          <w:kern w:val="0"/>
          <w:sz w:val="32"/>
          <w:szCs w:val="32"/>
        </w:rPr>
      </w:pPr>
    </w:p>
    <w:p>
      <w:pPr>
        <w:snapToGrid w:val="0"/>
        <w:spacing w:line="578" w:lineRule="exact"/>
        <w:rPr>
          <w:rFonts w:hint="default" w:ascii="Times New Roman" w:hAnsi="Times New Roman" w:eastAsia="方正黑体_GBK" w:cs="Times New Roman"/>
          <w:bCs/>
          <w:kern w:val="0"/>
          <w:sz w:val="32"/>
          <w:szCs w:val="32"/>
        </w:rPr>
      </w:pPr>
    </w:p>
    <w:p>
      <w:pPr>
        <w:snapToGrid w:val="0"/>
        <w:spacing w:line="578" w:lineRule="exact"/>
        <w:rPr>
          <w:rFonts w:hint="default" w:ascii="Times New Roman" w:hAnsi="Times New Roman" w:eastAsia="方正黑体_GBK" w:cs="Times New Roman"/>
          <w:bCs/>
          <w:kern w:val="0"/>
          <w:sz w:val="32"/>
          <w:szCs w:val="32"/>
        </w:rPr>
      </w:pPr>
    </w:p>
    <w:p>
      <w:pPr>
        <w:snapToGrid w:val="0"/>
        <w:spacing w:line="578" w:lineRule="exact"/>
        <w:rPr>
          <w:rFonts w:hint="default" w:ascii="Times New Roman" w:hAnsi="Times New Roman" w:eastAsia="方正黑体_GBK" w:cs="Times New Roman"/>
          <w:bCs/>
          <w:kern w:val="0"/>
          <w:sz w:val="32"/>
          <w:szCs w:val="32"/>
        </w:rPr>
      </w:pPr>
    </w:p>
    <w:p>
      <w:pPr>
        <w:snapToGrid w:val="0"/>
        <w:spacing w:line="578" w:lineRule="exact"/>
        <w:rPr>
          <w:rFonts w:hint="default" w:ascii="Times New Roman" w:hAnsi="Times New Roman" w:eastAsia="方正黑体_GBK" w:cs="Times New Roman"/>
          <w:bCs/>
          <w:kern w:val="0"/>
          <w:sz w:val="32"/>
          <w:szCs w:val="32"/>
        </w:rPr>
      </w:pPr>
    </w:p>
    <w:p>
      <w:pPr>
        <w:snapToGrid w:val="0"/>
        <w:spacing w:line="578" w:lineRule="exact"/>
        <w:rPr>
          <w:rFonts w:hint="default" w:ascii="Times New Roman" w:hAnsi="Times New Roman" w:eastAsia="方正黑体_GBK" w:cs="Times New Roman"/>
          <w:bCs/>
          <w:kern w:val="0"/>
          <w:sz w:val="32"/>
          <w:szCs w:val="32"/>
        </w:rPr>
      </w:pPr>
    </w:p>
    <w:p>
      <w:pPr>
        <w:snapToGrid w:val="0"/>
        <w:spacing w:line="578" w:lineRule="exact"/>
        <w:rPr>
          <w:rFonts w:hint="default" w:ascii="Times New Roman" w:hAnsi="Times New Roman" w:eastAsia="方正黑体_GBK" w:cs="Times New Roman"/>
          <w:bCs/>
          <w:kern w:val="0"/>
          <w:sz w:val="32"/>
          <w:szCs w:val="32"/>
        </w:rPr>
      </w:pPr>
    </w:p>
    <w:p>
      <w:pPr>
        <w:snapToGrid w:val="0"/>
        <w:spacing w:line="578" w:lineRule="exact"/>
        <w:rPr>
          <w:rFonts w:hint="default" w:ascii="Times New Roman" w:hAnsi="Times New Roman" w:eastAsia="方正黑体_GBK" w:cs="Times New Roman"/>
          <w:bCs/>
          <w:kern w:val="0"/>
          <w:sz w:val="32"/>
          <w:szCs w:val="32"/>
        </w:rPr>
      </w:pPr>
    </w:p>
    <w:p>
      <w:pPr>
        <w:snapToGrid w:val="0"/>
        <w:spacing w:line="578" w:lineRule="exact"/>
        <w:rPr>
          <w:rFonts w:hint="default" w:ascii="Times New Roman" w:hAnsi="Times New Roman" w:eastAsia="方正黑体_GBK" w:cs="Times New Roman"/>
          <w:bCs/>
          <w:kern w:val="0"/>
          <w:sz w:val="32"/>
          <w:szCs w:val="32"/>
        </w:rPr>
      </w:pPr>
    </w:p>
    <w:p>
      <w:pPr>
        <w:snapToGrid w:val="0"/>
        <w:spacing w:line="578" w:lineRule="exac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方正黑体_GBK" w:cs="Times New Roman"/>
          <w:bCs/>
          <w:kern w:val="0"/>
          <w:sz w:val="32"/>
          <w:szCs w:val="32"/>
        </w:rPr>
        <w:t>指南</w:t>
      </w:r>
      <w:r>
        <w:rPr>
          <w:rFonts w:hint="default" w:ascii="Times New Roman" w:hAnsi="Times New Roman" w:eastAsia="方正黑体_GBK" w:cs="Times New Roman"/>
          <w:bCs/>
          <w:kern w:val="0"/>
          <w:sz w:val="32"/>
          <w:szCs w:val="32"/>
          <w:lang w:val="en-US" w:eastAsia="zh-CN"/>
        </w:rPr>
        <w:t>1</w:t>
      </w:r>
    </w:p>
    <w:p>
      <w:pPr>
        <w:numPr>
          <w:ilvl w:val="0"/>
          <w:numId w:val="0"/>
        </w:numPr>
        <w:snapToGrid w:val="0"/>
        <w:spacing w:line="578" w:lineRule="exact"/>
        <w:jc w:val="center"/>
        <w:outlineLvl w:val="0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 xml:space="preserve"> 重大专项奖补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申报</w:t>
      </w: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指南</w:t>
      </w:r>
    </w:p>
    <w:p>
      <w:pPr>
        <w:snapToGrid w:val="0"/>
        <w:spacing w:line="578" w:lineRule="exact"/>
        <w:rPr>
          <w:rFonts w:hint="default" w:ascii="Times New Roman" w:hAnsi="Times New Roman" w:eastAsia="方正黑体_GBK" w:cs="Times New Roman"/>
          <w:bCs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方正黑体_GBK" w:cs="Times New Roman"/>
          <w:bCs/>
          <w:kern w:val="0"/>
          <w:sz w:val="32"/>
          <w:szCs w:val="32"/>
        </w:rPr>
      </w:pPr>
      <w:r>
        <w:rPr>
          <w:rFonts w:hint="default" w:ascii="Times New Roman" w:hAnsi="Times New Roman" w:eastAsia="方正黑体简体" w:cs="Times New Roman"/>
          <w:color w:val="auto"/>
          <w:sz w:val="32"/>
          <w:szCs w:val="32"/>
          <w:highlight w:val="none"/>
          <w:u w:val="none"/>
          <w:lang w:val="en-US" w:eastAsia="zh-CN"/>
        </w:rPr>
        <w:t>支持在新一代信息技术、医药健康、智能制造、新材料、低空经济、航空航天、人工智能、绿色低碳、氢能与储能等领域培育具有核心竞争力的高精尖产业。对获得国家、省、市重大专项资金的项目，按上级实际到位资金的30%给予最高不超过200万元奖励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right="0" w:rightChars="0" w:firstLine="640" w:firstLineChars="200"/>
        <w:textAlignment w:val="auto"/>
        <w:rPr>
          <w:rFonts w:hint="default" w:ascii="Times New Roman" w:hAnsi="Times New Roman" w:eastAsia="方正楷体简体" w:cs="Times New Roman"/>
          <w:b w:val="0"/>
          <w:bCs w:val="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方正楷体简体" w:cs="Times New Roman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（一）申请条件及奖补标准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方正仿宋简体" w:cs="Times New Roman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  <w:t>1.</w:t>
      </w: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</w:rPr>
        <w:t>企业</w:t>
      </w: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  <w:lang w:eastAsia="zh-CN"/>
        </w:rPr>
        <w:t>诚信经营、</w:t>
      </w: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  <w:t>无重大违法违规行为</w:t>
      </w:r>
      <w:r>
        <w:rPr>
          <w:rFonts w:hint="default" w:ascii="Times New Roman" w:hAnsi="Times New Roman" w:cs="Times New Roman"/>
          <w:sz w:val="32"/>
          <w:szCs w:val="32"/>
          <w:highlight w:val="none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  <w:t>2.在国家、省、市项目资金到位后，按实际到位的项目资金（扣除外拨部分）的30%给予最高不超过200万元奖励。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</w:pPr>
      <w:r>
        <w:rPr>
          <w:rFonts w:hint="default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3.承担国家、省、市科技计划项目的企业须为项目（含子课题）第一承担单位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，承担项目须为揭榜挂帅技术攻关项目、重点研发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重点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专项项目和科技重大专项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项目形式限研发类、成果类项目。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4.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奖励范围为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资金到账时间在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202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年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月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日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至202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年12月31日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的科技计划项目，分批次拨付项目补助资金按批次进行匹配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（以银行进账单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时间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为准）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right="0" w:rightChars="0" w:firstLine="640" w:firstLineChars="200"/>
        <w:textAlignment w:val="auto"/>
        <w:rPr>
          <w:rFonts w:hint="default" w:ascii="Times New Roman" w:hAnsi="Times New Roman" w:eastAsia="方正楷体简体" w:cs="Times New Roman"/>
          <w:b w:val="0"/>
          <w:bCs w:val="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方正楷体简体" w:cs="Times New Roman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（二）</w:t>
      </w:r>
      <w:r>
        <w:rPr>
          <w:rFonts w:hint="eastAsia" w:ascii="Times New Roman" w:hAnsi="Times New Roman" w:eastAsia="方正楷体简体" w:cs="Times New Roman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申报</w:t>
      </w:r>
      <w:r>
        <w:rPr>
          <w:rFonts w:hint="default" w:ascii="Times New Roman" w:hAnsi="Times New Roman" w:eastAsia="方正楷体简体" w:cs="Times New Roman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材料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  <w:t>1.</w:t>
      </w:r>
      <w:r>
        <w:rPr>
          <w:rFonts w:hint="default" w:ascii="Times New Roman" w:hAnsi="Times New Roman" w:eastAsia="方正仿宋简体" w:cs="Times New Roman"/>
          <w:b w:val="0"/>
          <w:bCs/>
          <w:color w:val="auto"/>
          <w:kern w:val="0"/>
          <w:sz w:val="32"/>
          <w:szCs w:val="32"/>
          <w:highlight w:val="none"/>
          <w:u w:val="none"/>
          <w:lang w:val="en-US" w:eastAsia="zh-CN" w:bidi="ar-SA"/>
        </w:rPr>
        <w:t>成都市新都区重大专项奖补</w:t>
      </w:r>
      <w:r>
        <w:rPr>
          <w:rFonts w:hint="eastAsia" w:ascii="Times New Roman" w:hAnsi="Times New Roman" w:eastAsia="方正仿宋简体" w:cs="Times New Roman"/>
          <w:b w:val="0"/>
          <w:bCs/>
          <w:color w:val="auto"/>
          <w:kern w:val="0"/>
          <w:sz w:val="32"/>
          <w:szCs w:val="32"/>
          <w:highlight w:val="none"/>
          <w:u w:val="none"/>
          <w:lang w:val="en-US" w:eastAsia="zh-CN" w:bidi="ar-SA"/>
        </w:rPr>
        <w:t>申报</w:t>
      </w:r>
      <w:r>
        <w:rPr>
          <w:rFonts w:hint="default" w:ascii="Times New Roman" w:hAnsi="Times New Roman" w:eastAsia="方正仿宋简体" w:cs="Times New Roman"/>
          <w:b w:val="0"/>
          <w:bCs/>
          <w:color w:val="auto"/>
          <w:kern w:val="0"/>
          <w:sz w:val="32"/>
          <w:szCs w:val="32"/>
          <w:highlight w:val="none"/>
          <w:u w:val="none"/>
          <w:lang w:val="en-US" w:eastAsia="zh-CN" w:bidi="ar-SA"/>
        </w:rPr>
        <w:t>表</w:t>
      </w: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  <w:t>2.企业统一社会信用代码注册登记证（照）复印件。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  <w:t>3.上级科技行政部门</w:t>
      </w:r>
      <w:r>
        <w:rPr>
          <w:rFonts w:hint="eastAsia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  <w:t>申报</w:t>
      </w: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  <w:t>通知及立项文件、资金到位证明。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958" w:leftChars="304" w:right="0" w:rightChars="0" w:hanging="320" w:hangingChars="100"/>
        <w:jc w:val="both"/>
        <w:textAlignment w:val="auto"/>
        <w:outlineLvl w:val="9"/>
        <w:rPr>
          <w:rFonts w:hint="default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  <w:t>4.</w:t>
      </w:r>
      <w:r>
        <w:rPr>
          <w:rFonts w:hint="default" w:ascii="Times New Roman" w:hAnsi="Times New Roman" w:eastAsia="方正仿宋简体" w:cs="Times New Roman"/>
          <w:sz w:val="32"/>
          <w:szCs w:val="32"/>
          <w:lang w:eastAsia="zh-CN"/>
        </w:rPr>
        <w:t>市场主体专用信用报告</w:t>
      </w: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  <w:t>（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出具报告方式请参</w:t>
      </w: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  <w:t>照操作指南https://credit.chengdu.gov.cn/www/index.html#/m///czzn）</w:t>
      </w:r>
      <w:r>
        <w:rPr>
          <w:rFonts w:hint="eastAsia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  <w:t>，信用报告查询时间范围为2025年全年，查询领域为所有领域</w:t>
      </w: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  <w:t>5.有合作单位的项目需提供合作协议及资金外拨证明。</w:t>
      </w:r>
    </w:p>
    <w:p>
      <w:pPr>
        <w:snapToGrid w:val="0"/>
        <w:spacing w:line="578" w:lineRule="exact"/>
        <w:rPr>
          <w:rFonts w:hint="default" w:ascii="Times New Roman" w:hAnsi="Times New Roman" w:eastAsia="方正黑体_GBK" w:cs="Times New Roman"/>
          <w:bCs/>
          <w:kern w:val="0"/>
          <w:sz w:val="32"/>
          <w:szCs w:val="32"/>
        </w:rPr>
      </w:pPr>
    </w:p>
    <w:p>
      <w:pPr>
        <w:snapToGrid w:val="0"/>
        <w:spacing w:line="578" w:lineRule="exact"/>
        <w:rPr>
          <w:rFonts w:hint="default" w:ascii="Times New Roman" w:hAnsi="Times New Roman" w:eastAsia="方正黑体_GBK" w:cs="Times New Roman"/>
          <w:bCs/>
          <w:kern w:val="0"/>
          <w:sz w:val="32"/>
          <w:szCs w:val="32"/>
        </w:rPr>
      </w:pPr>
    </w:p>
    <w:p>
      <w:pPr>
        <w:snapToGrid w:val="0"/>
        <w:spacing w:line="578" w:lineRule="exact"/>
        <w:rPr>
          <w:rFonts w:hint="default" w:ascii="Times New Roman" w:hAnsi="Times New Roman" w:eastAsia="方正黑体_GBK" w:cs="Times New Roman"/>
          <w:bCs/>
          <w:kern w:val="0"/>
          <w:sz w:val="32"/>
          <w:szCs w:val="32"/>
        </w:rPr>
      </w:pPr>
    </w:p>
    <w:p>
      <w:pPr>
        <w:pStyle w:val="2"/>
        <w:rPr>
          <w:rFonts w:hint="default" w:ascii="Times New Roman" w:hAnsi="Times New Roman" w:eastAsia="方正黑体_GBK" w:cs="Times New Roman"/>
          <w:bCs/>
          <w:kern w:val="0"/>
          <w:sz w:val="32"/>
          <w:szCs w:val="32"/>
        </w:rPr>
      </w:pPr>
    </w:p>
    <w:p>
      <w:pPr>
        <w:pStyle w:val="2"/>
        <w:rPr>
          <w:rFonts w:hint="default" w:ascii="Times New Roman" w:hAnsi="Times New Roman" w:eastAsia="方正黑体_GBK" w:cs="Times New Roman"/>
          <w:bCs/>
          <w:kern w:val="0"/>
          <w:sz w:val="32"/>
          <w:szCs w:val="32"/>
        </w:rPr>
      </w:pPr>
    </w:p>
    <w:p>
      <w:pPr>
        <w:pStyle w:val="2"/>
        <w:rPr>
          <w:rFonts w:hint="default" w:ascii="Times New Roman" w:hAnsi="Times New Roman" w:eastAsia="方正黑体_GBK" w:cs="Times New Roman"/>
          <w:bCs/>
          <w:kern w:val="0"/>
          <w:sz w:val="32"/>
          <w:szCs w:val="32"/>
        </w:rPr>
      </w:pPr>
    </w:p>
    <w:p>
      <w:pPr>
        <w:pStyle w:val="2"/>
        <w:rPr>
          <w:rFonts w:hint="default" w:ascii="Times New Roman" w:hAnsi="Times New Roman" w:eastAsia="方正黑体_GBK" w:cs="Times New Roman"/>
          <w:bCs/>
          <w:kern w:val="0"/>
          <w:sz w:val="32"/>
          <w:szCs w:val="32"/>
        </w:rPr>
      </w:pPr>
    </w:p>
    <w:p>
      <w:pPr>
        <w:pStyle w:val="2"/>
        <w:rPr>
          <w:rFonts w:hint="default" w:ascii="Times New Roman" w:hAnsi="Times New Roman" w:eastAsia="方正黑体_GBK" w:cs="Times New Roman"/>
          <w:bCs/>
          <w:kern w:val="0"/>
          <w:sz w:val="32"/>
          <w:szCs w:val="32"/>
        </w:rPr>
      </w:pPr>
    </w:p>
    <w:p>
      <w:pPr>
        <w:pStyle w:val="2"/>
        <w:rPr>
          <w:rFonts w:hint="default" w:ascii="Times New Roman" w:hAnsi="Times New Roman" w:eastAsia="方正黑体_GBK" w:cs="Times New Roman"/>
          <w:bCs/>
          <w:kern w:val="0"/>
          <w:sz w:val="32"/>
          <w:szCs w:val="32"/>
        </w:rPr>
      </w:pPr>
    </w:p>
    <w:p>
      <w:pPr>
        <w:pStyle w:val="2"/>
        <w:rPr>
          <w:rFonts w:hint="default" w:ascii="Times New Roman" w:hAnsi="Times New Roman" w:eastAsia="方正黑体_GBK" w:cs="Times New Roman"/>
          <w:bCs/>
          <w:kern w:val="0"/>
          <w:sz w:val="32"/>
          <w:szCs w:val="32"/>
        </w:rPr>
      </w:pPr>
    </w:p>
    <w:p>
      <w:pPr>
        <w:pStyle w:val="2"/>
        <w:rPr>
          <w:rFonts w:hint="default" w:ascii="Times New Roman" w:hAnsi="Times New Roman" w:eastAsia="方正黑体_GBK" w:cs="Times New Roman"/>
          <w:bCs/>
          <w:kern w:val="0"/>
          <w:sz w:val="32"/>
          <w:szCs w:val="32"/>
        </w:rPr>
      </w:pPr>
    </w:p>
    <w:p>
      <w:pPr>
        <w:pStyle w:val="2"/>
        <w:rPr>
          <w:rFonts w:hint="default" w:ascii="Times New Roman" w:hAnsi="Times New Roman" w:eastAsia="方正黑体_GBK" w:cs="Times New Roman"/>
          <w:bCs/>
          <w:kern w:val="0"/>
          <w:sz w:val="32"/>
          <w:szCs w:val="32"/>
        </w:rPr>
      </w:pPr>
    </w:p>
    <w:p>
      <w:pPr>
        <w:pStyle w:val="2"/>
        <w:rPr>
          <w:rFonts w:hint="default" w:ascii="Times New Roman" w:hAnsi="Times New Roman" w:eastAsia="方正黑体_GBK" w:cs="Times New Roman"/>
          <w:bCs/>
          <w:kern w:val="0"/>
          <w:sz w:val="32"/>
          <w:szCs w:val="32"/>
        </w:rPr>
      </w:pPr>
    </w:p>
    <w:p>
      <w:pPr>
        <w:pStyle w:val="2"/>
        <w:rPr>
          <w:rFonts w:hint="default" w:ascii="Times New Roman" w:hAnsi="Times New Roman" w:eastAsia="方正黑体_GBK" w:cs="Times New Roman"/>
          <w:bCs/>
          <w:kern w:val="0"/>
          <w:sz w:val="32"/>
          <w:szCs w:val="32"/>
        </w:rPr>
      </w:pPr>
    </w:p>
    <w:p>
      <w:pPr>
        <w:pStyle w:val="2"/>
        <w:rPr>
          <w:rFonts w:hint="default" w:ascii="Times New Roman" w:hAnsi="Times New Roman" w:eastAsia="方正黑体_GBK" w:cs="Times New Roman"/>
          <w:bCs/>
          <w:kern w:val="0"/>
          <w:sz w:val="32"/>
          <w:szCs w:val="32"/>
        </w:rPr>
      </w:pPr>
    </w:p>
    <w:p>
      <w:pPr>
        <w:snapToGrid w:val="0"/>
        <w:spacing w:line="578" w:lineRule="exact"/>
        <w:rPr>
          <w:rFonts w:hint="default" w:ascii="Times New Roman" w:hAnsi="Times New Roman" w:eastAsia="方正黑体_GBK" w:cs="Times New Roman"/>
          <w:bCs/>
          <w:kern w:val="0"/>
          <w:sz w:val="32"/>
          <w:szCs w:val="32"/>
        </w:rPr>
      </w:pPr>
    </w:p>
    <w:p>
      <w:pPr>
        <w:snapToGrid w:val="0"/>
        <w:spacing w:line="578" w:lineRule="exac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方正黑体_GBK" w:cs="Times New Roman"/>
          <w:bCs/>
          <w:kern w:val="0"/>
          <w:sz w:val="32"/>
          <w:szCs w:val="32"/>
        </w:rPr>
        <w:t>指南</w:t>
      </w:r>
      <w:r>
        <w:rPr>
          <w:rFonts w:hint="default" w:ascii="Times New Roman" w:hAnsi="Times New Roman" w:eastAsia="方正黑体_GBK" w:cs="Times New Roman"/>
          <w:bCs/>
          <w:kern w:val="0"/>
          <w:sz w:val="32"/>
          <w:szCs w:val="32"/>
          <w:lang w:val="en-US" w:eastAsia="zh-CN"/>
        </w:rPr>
        <w:t>2</w:t>
      </w:r>
    </w:p>
    <w:p>
      <w:pPr>
        <w:numPr>
          <w:ilvl w:val="0"/>
          <w:numId w:val="0"/>
        </w:numPr>
        <w:snapToGrid w:val="0"/>
        <w:spacing w:line="578" w:lineRule="exact"/>
        <w:jc w:val="center"/>
        <w:outlineLvl w:val="0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高新技术企业认定奖补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申报</w:t>
      </w: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指南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方正黑体简体" w:cs="Times New Roman"/>
          <w:color w:val="auto"/>
          <w:sz w:val="32"/>
          <w:szCs w:val="32"/>
          <w:highlight w:val="none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方正黑体简体" w:cs="Times New Roman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方正黑体简体" w:cs="Times New Roman"/>
          <w:color w:val="auto"/>
          <w:sz w:val="32"/>
          <w:szCs w:val="32"/>
          <w:highlight w:val="none"/>
          <w:u w:val="none"/>
          <w:lang w:val="en-US" w:eastAsia="zh-CN"/>
        </w:rPr>
        <w:t>对通过高新技术企业认定的企业给予奖励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right="0" w:rightChars="0" w:firstLine="640" w:firstLineChars="200"/>
        <w:textAlignment w:val="auto"/>
        <w:rPr>
          <w:rFonts w:hint="default" w:ascii="Times New Roman" w:hAnsi="Times New Roman" w:eastAsia="方正楷体简体" w:cs="Times New Roman"/>
          <w:b w:val="0"/>
          <w:bCs w:val="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方正楷体简体" w:cs="Times New Roman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（一）申请条件及奖补标准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方正仿宋简体" w:cs="Times New Roman"/>
          <w:sz w:val="32"/>
          <w:szCs w:val="32"/>
          <w:highlight w:val="yellow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  <w:t>1.</w:t>
      </w: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</w:rPr>
        <w:t>企业</w:t>
      </w: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  <w:lang w:eastAsia="zh-CN"/>
        </w:rPr>
        <w:t>诚信经营、</w:t>
      </w: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  <w:t>无重大违法违规行为；</w:t>
      </w: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  <w:lang w:eastAsia="zh-CN"/>
        </w:rPr>
        <w:t>需完成</w:t>
      </w: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  <w:t>2025</w:t>
      </w: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  <w:lang w:eastAsia="zh-CN"/>
        </w:rPr>
        <w:t>年度火炬统计年报表，并按时完成成都市科技创新季度快报</w:t>
      </w:r>
      <w:r>
        <w:rPr>
          <w:rFonts w:hint="default" w:ascii="Times New Roman" w:hAnsi="Times New Roman" w:cs="Times New Roman"/>
          <w:sz w:val="32"/>
          <w:szCs w:val="32"/>
          <w:highlight w:val="none"/>
          <w:lang w:eastAsia="zh-CN"/>
        </w:rPr>
        <w:t>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2</w:t>
      </w:r>
      <w:r>
        <w:rPr>
          <w:rFonts w:hint="default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.</w:t>
      </w: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  <w:t>对2025年度首次认定</w:t>
      </w:r>
      <w:r>
        <w:rPr>
          <w:rFonts w:hint="eastAsia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  <w:t>通过</w:t>
      </w: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  <w:t>的高新技术企业给予一次性15万元补助；对</w:t>
      </w:r>
      <w:r>
        <w:rPr>
          <w:rFonts w:hint="eastAsia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  <w:t>再次认定通过</w:t>
      </w: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  <w:t>的高新技术企业给予一次性5万元补助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  <w:t>其余认定年度不在本次</w:t>
      </w:r>
      <w:r>
        <w:rPr>
          <w:rFonts w:hint="eastAsia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  <w:t>申报</w:t>
      </w: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  <w:t>范围。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right="0" w:rightChars="0" w:firstLine="640" w:firstLineChars="200"/>
        <w:textAlignment w:val="auto"/>
        <w:rPr>
          <w:rFonts w:hint="default" w:ascii="Times New Roman" w:hAnsi="Times New Roman" w:eastAsia="方正楷体简体" w:cs="Times New Roman"/>
          <w:b w:val="0"/>
          <w:bCs w:val="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方正楷体简体" w:cs="Times New Roman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（二）</w:t>
      </w:r>
      <w:r>
        <w:rPr>
          <w:rFonts w:hint="eastAsia" w:ascii="Times New Roman" w:hAnsi="Times New Roman" w:eastAsia="方正楷体简体" w:cs="Times New Roman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申报</w:t>
      </w:r>
      <w:r>
        <w:rPr>
          <w:rFonts w:hint="default" w:ascii="Times New Roman" w:hAnsi="Times New Roman" w:eastAsia="方正楷体简体" w:cs="Times New Roman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材料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  <w:t>1.成都市新都区国家高新技术企业认定奖补</w:t>
      </w:r>
      <w:r>
        <w:rPr>
          <w:rFonts w:hint="eastAsia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  <w:t>申报</w:t>
      </w: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  <w:t>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  <w:t>2.企业统一社会信用代码注册登记证（照）复印件。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  <w:t>3.高新技术企业认定证书复印件。</w:t>
      </w:r>
    </w:p>
    <w:p>
      <w:pPr>
        <w:pStyle w:val="2"/>
        <w:ind w:left="958" w:leftChars="304" w:hanging="320" w:hangingChars="100"/>
        <w:rPr>
          <w:rFonts w:hint="default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  <w:t>4.</w:t>
      </w:r>
      <w:r>
        <w:rPr>
          <w:rFonts w:hint="default" w:ascii="Times New Roman" w:hAnsi="Times New Roman" w:eastAsia="方正仿宋简体" w:cs="Times New Roman"/>
          <w:sz w:val="32"/>
          <w:szCs w:val="32"/>
          <w:lang w:eastAsia="zh-CN"/>
        </w:rPr>
        <w:t>市场主体专用信用报告</w:t>
      </w: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  <w:t>（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出具报告方式请参</w:t>
      </w: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  <w:t>照操作指南https://credit.chengdu.gov.cn/www/index.html#/m///czzn）</w:t>
      </w:r>
      <w:r>
        <w:rPr>
          <w:rFonts w:hint="eastAsia" w:ascii="Times New Roman" w:eastAsia="方正仿宋简体" w:cs="Times New Roman"/>
          <w:sz w:val="32"/>
          <w:szCs w:val="32"/>
          <w:highlight w:val="none"/>
          <w:lang w:val="en-US" w:eastAsia="zh-CN"/>
        </w:rPr>
        <w:t>，</w:t>
      </w:r>
      <w:r>
        <w:rPr>
          <w:rFonts w:hint="eastAsia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  <w:t>信用报告查询时间范围为2025年全年，查询领域为所有领域</w:t>
      </w: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  <w:t>。</w:t>
      </w:r>
      <w:r>
        <w:rPr>
          <w:rFonts w:hint="eastAsia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  <w:t>事业单位使用信用中国出具的专用信用报告。</w:t>
      </w:r>
    </w:p>
    <w:p>
      <w:pPr>
        <w:pStyle w:val="2"/>
        <w:ind w:left="958" w:leftChars="304" w:hanging="320" w:hangingChars="100"/>
        <w:rPr>
          <w:rFonts w:hint="default" w:ascii="Times New Roman" w:hAnsi="Times New Roman" w:eastAsia="方正黑体_GBK" w:cs="Times New Roman"/>
          <w:bCs/>
          <w:kern w:val="0"/>
          <w:sz w:val="32"/>
          <w:szCs w:val="32"/>
        </w:rPr>
      </w:pPr>
      <w:r>
        <w:rPr>
          <w:rFonts w:hint="eastAsia" w:ascii="Times New Roman" w:eastAsia="方正仿宋简体" w:cs="Times New Roman"/>
          <w:sz w:val="32"/>
          <w:szCs w:val="32"/>
          <w:highlight w:val="none"/>
          <w:lang w:val="en-US" w:eastAsia="zh-CN"/>
        </w:rPr>
        <w:t>5.2025年度火炬报表填报截图及2026年度成都市科技创新快报填报截图。</w:t>
      </w:r>
    </w:p>
    <w:p>
      <w:pPr>
        <w:snapToGrid w:val="0"/>
        <w:spacing w:line="578" w:lineRule="exact"/>
        <w:rPr>
          <w:rFonts w:hint="default" w:ascii="Times New Roman" w:hAnsi="Times New Roman" w:eastAsia="方正黑体_GBK" w:cs="Times New Roman"/>
          <w:bCs/>
          <w:kern w:val="0"/>
          <w:sz w:val="32"/>
          <w:szCs w:val="32"/>
        </w:rPr>
      </w:pPr>
    </w:p>
    <w:p>
      <w:pPr>
        <w:snapToGrid w:val="0"/>
        <w:spacing w:line="578" w:lineRule="exact"/>
        <w:rPr>
          <w:rFonts w:hint="default" w:ascii="Times New Roman" w:hAnsi="Times New Roman" w:eastAsia="方正黑体_GBK" w:cs="Times New Roman"/>
          <w:bCs/>
          <w:kern w:val="0"/>
          <w:sz w:val="32"/>
          <w:szCs w:val="32"/>
        </w:rPr>
      </w:pPr>
    </w:p>
    <w:p>
      <w:pPr>
        <w:snapToGrid w:val="0"/>
        <w:spacing w:line="578" w:lineRule="exac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方正黑体_GBK" w:cs="Times New Roman"/>
          <w:bCs/>
          <w:kern w:val="0"/>
          <w:sz w:val="32"/>
          <w:szCs w:val="32"/>
        </w:rPr>
        <w:t>指南</w:t>
      </w:r>
      <w:r>
        <w:rPr>
          <w:rFonts w:hint="eastAsia" w:ascii="Times New Roman" w:hAnsi="Times New Roman" w:eastAsia="方正黑体_GBK" w:cs="Times New Roman"/>
          <w:bCs/>
          <w:kern w:val="0"/>
          <w:sz w:val="32"/>
          <w:szCs w:val="32"/>
          <w:lang w:val="en-US" w:eastAsia="zh-CN"/>
        </w:rPr>
        <w:t>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产学研合作奖补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申报</w:t>
      </w: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指南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firstLine="640" w:firstLineChars="200"/>
        <w:textAlignment w:val="auto"/>
        <w:rPr>
          <w:rFonts w:hint="default" w:ascii="Times New Roman" w:hAnsi="Times New Roman" w:eastAsia="方正黑体简体" w:cs="Times New Roman"/>
          <w:color w:val="auto"/>
          <w:sz w:val="32"/>
          <w:szCs w:val="32"/>
          <w:highlight w:val="none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firstLine="640" w:firstLineChars="200"/>
        <w:textAlignment w:val="auto"/>
        <w:rPr>
          <w:rFonts w:hint="default" w:ascii="Times New Roman" w:hAnsi="Times New Roman" w:eastAsia="方正黑体简体" w:cs="Times New Roman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方正黑体简体" w:cs="Times New Roman"/>
          <w:color w:val="auto"/>
          <w:sz w:val="32"/>
          <w:szCs w:val="32"/>
          <w:highlight w:val="none"/>
          <w:u w:val="none"/>
          <w:lang w:val="en-US" w:eastAsia="zh-CN"/>
        </w:rPr>
        <w:t>对</w:t>
      </w:r>
      <w:r>
        <w:rPr>
          <w:rFonts w:hint="eastAsia" w:ascii="Times New Roman" w:hAnsi="Times New Roman" w:eastAsia="方正黑体简体" w:cs="Times New Roman"/>
          <w:color w:val="auto"/>
          <w:sz w:val="32"/>
          <w:szCs w:val="32"/>
          <w:highlight w:val="none"/>
          <w:u w:val="none"/>
          <w:lang w:val="en-US" w:eastAsia="zh-CN"/>
        </w:rPr>
        <w:t>申报</w:t>
      </w:r>
      <w:r>
        <w:rPr>
          <w:rFonts w:hint="default" w:ascii="Times New Roman" w:hAnsi="Times New Roman" w:eastAsia="方正黑体简体" w:cs="Times New Roman"/>
          <w:color w:val="auto"/>
          <w:sz w:val="32"/>
          <w:szCs w:val="32"/>
          <w:highlight w:val="none"/>
          <w:u w:val="none"/>
          <w:lang w:val="en-US" w:eastAsia="zh-CN"/>
        </w:rPr>
        <w:t>国家、省、市科技计划项目（仅限研发类、成果类）的企事业单位，在国家、省、市项目资金到位后，按实际到位项目资金的15%给予最高不超过100万元奖励。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right="0" w:rightChars="0" w:firstLine="640" w:firstLineChars="200"/>
        <w:textAlignment w:val="auto"/>
        <w:rPr>
          <w:rFonts w:hint="default" w:ascii="Times New Roman" w:hAnsi="Times New Roman" w:eastAsia="方正楷体简体" w:cs="Times New Roman"/>
          <w:b w:val="0"/>
          <w:bCs w:val="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方正楷体简体" w:cs="Times New Roman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（一）申请条件及奖补标准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方正仿宋简体" w:cs="Times New Roman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  <w:t>1.</w:t>
      </w: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</w:rPr>
        <w:t>企业</w:t>
      </w: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  <w:lang w:eastAsia="zh-CN"/>
        </w:rPr>
        <w:t>诚信经营、</w:t>
      </w: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  <w:t>无重大违法违规行为</w:t>
      </w:r>
      <w:r>
        <w:rPr>
          <w:rFonts w:hint="default" w:ascii="Times New Roman" w:hAnsi="Times New Roman" w:cs="Times New Roman"/>
          <w:sz w:val="32"/>
          <w:szCs w:val="32"/>
          <w:highlight w:val="none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  <w:t>2.在国家、省、市项目资金到位后，按实际到位的项目资金（扣除外拨部分）的15%给予最高不超过100万元奖励。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</w:pPr>
      <w:r>
        <w:rPr>
          <w:rFonts w:hint="default" w:ascii="Times New Roman" w:hAnsi="Times New Roman" w:eastAsia="方正仿宋简体" w:cs="Times New Roman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3.承担国家、省、市科技计划项目的企业须为项目第一承担单位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，承担项目须为研发类、成果类项目。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4.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奖励范围为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资金到账时间在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202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年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月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日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至202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年12月31日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的科技计划项目，分批次拨付项目补助资金按批次进行匹配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（以银行进账单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时间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为准）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right="0" w:rightChars="0" w:firstLine="640" w:firstLineChars="200"/>
        <w:textAlignment w:val="auto"/>
        <w:rPr>
          <w:rFonts w:hint="default" w:ascii="Times New Roman" w:hAnsi="Times New Roman" w:eastAsia="方正楷体简体" w:cs="Times New Roman"/>
          <w:b w:val="0"/>
          <w:bCs w:val="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方正楷体简体" w:cs="Times New Roman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（二）</w:t>
      </w:r>
      <w:r>
        <w:rPr>
          <w:rFonts w:hint="eastAsia" w:ascii="Times New Roman" w:hAnsi="Times New Roman" w:eastAsia="方正楷体简体" w:cs="Times New Roman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申报</w:t>
      </w:r>
      <w:r>
        <w:rPr>
          <w:rFonts w:hint="default" w:ascii="Times New Roman" w:hAnsi="Times New Roman" w:eastAsia="方正楷体简体" w:cs="Times New Roman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材料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  <w:t>1.</w:t>
      </w:r>
      <w:r>
        <w:rPr>
          <w:rFonts w:hint="default" w:ascii="Times New Roman" w:hAnsi="Times New Roman" w:eastAsia="方正仿宋简体" w:cs="Times New Roman"/>
          <w:b w:val="0"/>
          <w:bCs/>
          <w:color w:val="auto"/>
          <w:kern w:val="0"/>
          <w:sz w:val="32"/>
          <w:szCs w:val="32"/>
          <w:highlight w:val="none"/>
          <w:u w:val="none"/>
          <w:lang w:val="en-US" w:eastAsia="zh-CN" w:bidi="ar-SA"/>
        </w:rPr>
        <w:t>成都市新都区产学研合作奖励</w:t>
      </w:r>
      <w:r>
        <w:rPr>
          <w:rFonts w:hint="eastAsia" w:ascii="Times New Roman" w:hAnsi="Times New Roman" w:eastAsia="方正仿宋简体" w:cs="Times New Roman"/>
          <w:b w:val="0"/>
          <w:bCs/>
          <w:color w:val="auto"/>
          <w:kern w:val="0"/>
          <w:sz w:val="32"/>
          <w:szCs w:val="32"/>
          <w:highlight w:val="none"/>
          <w:u w:val="none"/>
          <w:lang w:val="en-US" w:eastAsia="zh-CN" w:bidi="ar-SA"/>
        </w:rPr>
        <w:t>申报</w:t>
      </w:r>
      <w:r>
        <w:rPr>
          <w:rFonts w:hint="default" w:ascii="Times New Roman" w:hAnsi="Times New Roman" w:eastAsia="方正仿宋简体" w:cs="Times New Roman"/>
          <w:b w:val="0"/>
          <w:bCs/>
          <w:color w:val="auto"/>
          <w:kern w:val="0"/>
          <w:sz w:val="32"/>
          <w:szCs w:val="32"/>
          <w:highlight w:val="none"/>
          <w:u w:val="none"/>
          <w:lang w:val="en-US" w:eastAsia="zh-CN" w:bidi="ar-SA"/>
        </w:rPr>
        <w:t>表</w:t>
      </w: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  <w:t>2.企业统一社会信用代码注册登记证（照）复印件。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  <w:t>3.上级科技行政部门</w:t>
      </w:r>
      <w:r>
        <w:rPr>
          <w:rFonts w:hint="eastAsia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  <w:t>申报</w:t>
      </w: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  <w:t>通知及立项文件、资金到位证明。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520" w:lineRule="exact"/>
        <w:ind w:left="958" w:leftChars="304" w:hanging="320" w:hangingChars="1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  <w:t>4.</w:t>
      </w:r>
      <w:r>
        <w:rPr>
          <w:rFonts w:hint="default" w:ascii="Times New Roman" w:hAnsi="Times New Roman" w:eastAsia="方正仿宋简体" w:cs="Times New Roman"/>
          <w:sz w:val="32"/>
          <w:szCs w:val="32"/>
          <w:lang w:eastAsia="zh-CN"/>
        </w:rPr>
        <w:t>市场主体专用信用报告</w:t>
      </w: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  <w:t>（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出具报告方式请参</w:t>
      </w: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  <w:t>照操作指南https://credit.chengdu.gov.cn/www/index.html#/m///czzn）</w:t>
      </w:r>
      <w:r>
        <w:rPr>
          <w:rFonts w:hint="eastAsia" w:ascii="Times New Roman" w:eastAsia="方正仿宋简体" w:cs="Times New Roman"/>
          <w:sz w:val="32"/>
          <w:szCs w:val="32"/>
          <w:highlight w:val="none"/>
          <w:lang w:val="en-US" w:eastAsia="zh-CN"/>
        </w:rPr>
        <w:t>，</w:t>
      </w:r>
      <w:r>
        <w:rPr>
          <w:rFonts w:hint="eastAsia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  <w:t>信用报告查询时间范围为2025年全年，查询领域为所有领域</w:t>
      </w: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  <w:t>5.有合作单位的项目需提供合作协议及资金外拨证明。</w:t>
      </w:r>
    </w:p>
    <w:p>
      <w:pPr>
        <w:rPr>
          <w:rFonts w:hint="default" w:ascii="Times New Roman" w:hAnsi="Times New Roman" w:eastAsia="方正仿宋简体" w:cs="Times New Roman"/>
          <w:sz w:val="32"/>
          <w:szCs w:val="32"/>
        </w:rPr>
      </w:pPr>
    </w:p>
    <w:sectPr>
      <w:footerReference r:id="rId3" w:type="default"/>
      <w:pgSz w:w="11906" w:h="16838"/>
      <w:pgMar w:top="2098" w:right="1531" w:bottom="1984" w:left="1531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黑体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framePr w:wrap="around" w:vAnchor="text" w:hAnchor="margin" w:xAlign="center" w:y="1"/>
      <w:rPr>
        <w:rStyle w:val="10"/>
        <w:rFonts w:ascii="宋体" w:hAnsi="宋体"/>
        <w:sz w:val="24"/>
        <w:szCs w:val="24"/>
      </w:rPr>
    </w:pPr>
    <w:r>
      <w:rPr>
        <w:rFonts w:ascii="宋体" w:hAnsi="宋体"/>
        <w:sz w:val="24"/>
        <w:szCs w:val="24"/>
      </w:rPr>
      <w:fldChar w:fldCharType="begin"/>
    </w:r>
    <w:r>
      <w:rPr>
        <w:rStyle w:val="10"/>
        <w:rFonts w:ascii="宋体" w:hAnsi="宋体"/>
        <w:sz w:val="24"/>
        <w:szCs w:val="24"/>
      </w:rPr>
      <w:instrText xml:space="preserve">PAGE  </w:instrText>
    </w:r>
    <w:r>
      <w:rPr>
        <w:rFonts w:ascii="宋体" w:hAnsi="宋体"/>
        <w:sz w:val="24"/>
        <w:szCs w:val="24"/>
      </w:rPr>
      <w:fldChar w:fldCharType="separate"/>
    </w:r>
    <w:r>
      <w:rPr>
        <w:rStyle w:val="10"/>
        <w:rFonts w:ascii="宋体" w:hAnsi="宋体"/>
        <w:sz w:val="24"/>
        <w:szCs w:val="24"/>
      </w:rPr>
      <w:t>- 2 -</w:t>
    </w:r>
    <w:r>
      <w:rPr>
        <w:rFonts w:ascii="宋体" w:hAnsi="宋体"/>
        <w:sz w:val="24"/>
        <w:szCs w:val="24"/>
      </w:rPr>
      <w:fldChar w:fldCharType="end"/>
    </w:r>
  </w:p>
  <w:p>
    <w:pPr>
      <w:pStyle w:val="6"/>
      <w:ind w:right="720" w:firstLine="360"/>
    </w:pPr>
  </w:p>
  <w:p>
    <w:pPr>
      <w:pStyle w:val="6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4E33"/>
    <w:rsid w:val="00025B4B"/>
    <w:rsid w:val="00120FB7"/>
    <w:rsid w:val="00293DE7"/>
    <w:rsid w:val="002C0790"/>
    <w:rsid w:val="002E35E2"/>
    <w:rsid w:val="00311ECD"/>
    <w:rsid w:val="003A5B08"/>
    <w:rsid w:val="00422A58"/>
    <w:rsid w:val="00472FD2"/>
    <w:rsid w:val="00631BEF"/>
    <w:rsid w:val="007565B7"/>
    <w:rsid w:val="009E2C25"/>
    <w:rsid w:val="00A27B70"/>
    <w:rsid w:val="00B74E33"/>
    <w:rsid w:val="00C226E3"/>
    <w:rsid w:val="01C97703"/>
    <w:rsid w:val="072A68C5"/>
    <w:rsid w:val="078B6CF4"/>
    <w:rsid w:val="08A15153"/>
    <w:rsid w:val="09C67D3D"/>
    <w:rsid w:val="0A1B1489"/>
    <w:rsid w:val="0BA6731C"/>
    <w:rsid w:val="0D375D77"/>
    <w:rsid w:val="0F342940"/>
    <w:rsid w:val="0F7D7D98"/>
    <w:rsid w:val="11023F50"/>
    <w:rsid w:val="12FC34A4"/>
    <w:rsid w:val="153368D2"/>
    <w:rsid w:val="17F75A26"/>
    <w:rsid w:val="186E7FDD"/>
    <w:rsid w:val="1A357F8E"/>
    <w:rsid w:val="1A3C3733"/>
    <w:rsid w:val="1B896B92"/>
    <w:rsid w:val="1BFA05A4"/>
    <w:rsid w:val="1CBD138E"/>
    <w:rsid w:val="1E1C3D7E"/>
    <w:rsid w:val="1F5E5CCA"/>
    <w:rsid w:val="21C14EC0"/>
    <w:rsid w:val="241D1913"/>
    <w:rsid w:val="2562211F"/>
    <w:rsid w:val="261962F9"/>
    <w:rsid w:val="28AA71F6"/>
    <w:rsid w:val="28CB6D69"/>
    <w:rsid w:val="28D23677"/>
    <w:rsid w:val="2AFE0464"/>
    <w:rsid w:val="2B80237A"/>
    <w:rsid w:val="2DCB3CE3"/>
    <w:rsid w:val="2ECC6F5A"/>
    <w:rsid w:val="324C0E37"/>
    <w:rsid w:val="3615116A"/>
    <w:rsid w:val="38017386"/>
    <w:rsid w:val="38B766AD"/>
    <w:rsid w:val="38C13263"/>
    <w:rsid w:val="3B077B24"/>
    <w:rsid w:val="3B6E5A76"/>
    <w:rsid w:val="3E0B0AD5"/>
    <w:rsid w:val="3E2313F0"/>
    <w:rsid w:val="3E2F21C9"/>
    <w:rsid w:val="3EAB5B55"/>
    <w:rsid w:val="3F2216C2"/>
    <w:rsid w:val="408B2A70"/>
    <w:rsid w:val="40E2193F"/>
    <w:rsid w:val="41A74BC2"/>
    <w:rsid w:val="4304077E"/>
    <w:rsid w:val="447647C6"/>
    <w:rsid w:val="4490710E"/>
    <w:rsid w:val="44EC230B"/>
    <w:rsid w:val="462A0642"/>
    <w:rsid w:val="46493227"/>
    <w:rsid w:val="4D0033FE"/>
    <w:rsid w:val="4D812645"/>
    <w:rsid w:val="4DC66328"/>
    <w:rsid w:val="50066DE4"/>
    <w:rsid w:val="50502506"/>
    <w:rsid w:val="547E70B6"/>
    <w:rsid w:val="54EC23EE"/>
    <w:rsid w:val="551D5FD2"/>
    <w:rsid w:val="55A133C3"/>
    <w:rsid w:val="5631001E"/>
    <w:rsid w:val="567340AD"/>
    <w:rsid w:val="5AA41CAD"/>
    <w:rsid w:val="5D2E6A2E"/>
    <w:rsid w:val="5E4E34F9"/>
    <w:rsid w:val="609E6A5E"/>
    <w:rsid w:val="6410272A"/>
    <w:rsid w:val="6D9C3EF9"/>
    <w:rsid w:val="6DA374A5"/>
    <w:rsid w:val="6E4F58D9"/>
    <w:rsid w:val="6E9F6D6E"/>
    <w:rsid w:val="6ECF514D"/>
    <w:rsid w:val="6F7154E4"/>
    <w:rsid w:val="720D34B7"/>
    <w:rsid w:val="7224523D"/>
    <w:rsid w:val="72B75AC5"/>
    <w:rsid w:val="73A176F0"/>
    <w:rsid w:val="75B70F83"/>
    <w:rsid w:val="75EE1582"/>
    <w:rsid w:val="77FC5080"/>
    <w:rsid w:val="78D76FA9"/>
    <w:rsid w:val="7A4F7A8E"/>
    <w:rsid w:val="7F7A6E5A"/>
    <w:rsid w:val="F06E6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qFormat/>
    <w:uiPriority w:val="9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4">
    <w:name w:val="heading 3"/>
    <w:basedOn w:val="1"/>
    <w:next w:val="1"/>
    <w:unhideWhenUsed/>
    <w:qFormat/>
    <w:uiPriority w:val="9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styleId="5">
    <w:name w:val="Plain Text"/>
    <w:basedOn w:val="1"/>
    <w:qFormat/>
    <w:uiPriority w:val="0"/>
    <w:rPr>
      <w:rFonts w:ascii="宋体" w:hAnsi="Courier New"/>
      <w:szCs w:val="21"/>
    </w:rPr>
  </w:style>
  <w:style w:type="paragraph" w:styleId="6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character" w:styleId="10">
    <w:name w:val="page number"/>
    <w:basedOn w:val="9"/>
    <w:qFormat/>
    <w:uiPriority w:val="0"/>
  </w:style>
  <w:style w:type="character" w:styleId="11">
    <w:name w:val="Hyperlink"/>
    <w:basedOn w:val="9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21</Pages>
  <Words>3937</Words>
  <Characters>4258</Characters>
  <Lines>5</Lines>
  <Paragraphs>1</Paragraphs>
  <TotalTime>18</TotalTime>
  <ScaleCrop>false</ScaleCrop>
  <LinksUpToDate>false</LinksUpToDate>
  <CharactersWithSpaces>4854</CharactersWithSpaces>
  <Application>WPS Office_11.8.2.8593_F1E327BC-269C-435d-A152-05C5408002CA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2019-03-19T10:51:00Z</dcterms:created>
  <dc:creator>肖  强</dc:creator>
  <cp:lastModifiedBy>dell</cp:lastModifiedBy>
  <cp:lastPrinted>2026-10-21T01:06:00Z</cp:lastPrinted>
  <dcterms:modified xsi:type="dcterms:W3CDTF">2026-10-22T01:23:04Z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2052-11.8.2.8593</vt:lpwstr>
  </property>
  <property fmtid="{D5CDD505-2E9C-101B-9397-08002B2CF9AE}" pid="3" name="ICV">
    <vt:lpwstr>5EACD52B1EE7454C8BB9C4788F1BDF93</vt:lpwstr>
  </property>
</Properties>
</file>